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A0F2536" w14:textId="77777777" w:rsidR="000F59DC" w:rsidRDefault="000F59DC" w:rsidP="000F59DC">
      <w:pPr>
        <w:pStyle w:val="NormalWeb"/>
        <w:shd w:val="clear" w:color="auto" w:fill="FFFFFF"/>
        <w:spacing w:before="180" w:beforeAutospacing="0" w:after="0" w:afterAutospacing="0"/>
        <w:rPr>
          <w:rStyle w:val="Strong"/>
          <w:rFonts w:ascii="Helvetica" w:hAnsi="Helvetica" w:cs="Helvetica"/>
          <w:color w:val="2D3B45"/>
        </w:rPr>
      </w:pPr>
      <w:r>
        <w:rPr>
          <w:rStyle w:val="Strong"/>
          <w:rFonts w:ascii="Helvetica" w:hAnsi="Helvetica" w:cs="Helvetica"/>
          <w:color w:val="2D3B45"/>
        </w:rPr>
        <w:t>Nichole Fields</w:t>
      </w:r>
    </w:p>
    <w:p w14:paraId="0937108D" w14:textId="2818CA21" w:rsidR="000F59DC" w:rsidRDefault="000F59DC" w:rsidP="000F59DC">
      <w:pPr>
        <w:pStyle w:val="NormalWeb"/>
        <w:shd w:val="clear" w:color="auto" w:fill="FFFFFF"/>
        <w:spacing w:before="180" w:beforeAutospacing="0" w:after="0" w:afterAutospacing="0"/>
        <w:rPr>
          <w:rFonts w:ascii="Helvetica" w:hAnsi="Helvetica" w:cs="Helvetica"/>
          <w:color w:val="2D3B45"/>
        </w:rPr>
      </w:pPr>
      <w:r>
        <w:rPr>
          <w:rStyle w:val="Strong"/>
          <w:rFonts w:ascii="Helvetica" w:hAnsi="Helvetica" w:cs="Helvetica"/>
          <w:color w:val="2D3B45"/>
        </w:rPr>
        <w:t>Research question</w:t>
      </w:r>
    </w:p>
    <w:p w14:paraId="2082B5EF" w14:textId="77777777" w:rsidR="000F59DC" w:rsidRDefault="000F59DC" w:rsidP="000F59DC">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How effective are CSR initiatives in promoting transparent corporate governance?</w:t>
      </w:r>
    </w:p>
    <w:p w14:paraId="518A5AF4" w14:textId="77777777" w:rsidR="000F59DC" w:rsidRDefault="000F59DC" w:rsidP="000F59DC">
      <w:pPr>
        <w:pStyle w:val="NormalWeb"/>
        <w:shd w:val="clear" w:color="auto" w:fill="FFFFFF"/>
        <w:spacing w:before="180" w:beforeAutospacing="0" w:after="0" w:afterAutospacing="0"/>
        <w:rPr>
          <w:rFonts w:ascii="Helvetica" w:hAnsi="Helvetica" w:cs="Helvetica"/>
          <w:color w:val="2D3B45"/>
        </w:rPr>
      </w:pPr>
      <w:r>
        <w:rPr>
          <w:rStyle w:val="Strong"/>
          <w:rFonts w:ascii="Helvetica" w:hAnsi="Helvetica" w:cs="Helvetica"/>
          <w:color w:val="2D3B45"/>
        </w:rPr>
        <w:t>Rationale</w:t>
      </w:r>
    </w:p>
    <w:p w14:paraId="43D02745" w14:textId="77777777" w:rsidR="000F59DC" w:rsidRDefault="000F59DC" w:rsidP="000F59DC">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I chose the research question because there has been little research on the impacts of CSR on the firm itself. Most of the research concentrates on the impact CSR has on the community, the firm’s employees, and how it helps in boosting the firm’s bottom line. CSR initiatives are meant to connect the business to the community and vice versa. However, some firms only carry out CSR initiatives since it markets their products to the community or improves employee retention lowering its operating costs. Such firms fail to be transparent, creating distrust within the firm and with its surrounding community. According to Garcia-Sanchez (2019), nearly 75% of American staff don’t trust their employers and don’t believe they are transparent with them. The lack of transparency gravely affects the entire initiative since it paves the way for corruption and other business malpractices. Lacking also creates a bad working environment for the business in which employees mistrust the organization’s initiatives as being only beneficial to the business and not the community.</w:t>
      </w:r>
    </w:p>
    <w:p w14:paraId="237F59BC" w14:textId="77777777" w:rsidR="000F59DC" w:rsidRDefault="000F59DC" w:rsidP="000F59DC">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xml:space="preserve">         Employee discrimination also arises from such distrust in the firm causing more employee attrition and adding to the operating cost of a firm. Transparency remains fundamental in ensuring organization obeys both the state and national law, thus </w:t>
      </w:r>
      <w:proofErr w:type="gramStart"/>
      <w:r>
        <w:rPr>
          <w:rFonts w:ascii="Helvetica" w:hAnsi="Helvetica" w:cs="Helvetica"/>
          <w:color w:val="2D3B45"/>
        </w:rPr>
        <w:t>its</w:t>
      </w:r>
      <w:proofErr w:type="gramEnd"/>
      <w:r>
        <w:rPr>
          <w:rFonts w:ascii="Helvetica" w:hAnsi="Helvetica" w:cs="Helvetica"/>
          <w:color w:val="2D3B45"/>
        </w:rPr>
        <w:t xml:space="preserve"> lack may indicate the firm neglects some of these legislations. The firms may not want to abide by international labor regulations and use CSR as a cover-up to increase employee motivation, thus being able to maintain them. Therefore, we need to establish how effective CSR is in promoting corporate governance transparency and which loopholes exist that hinder transparency within the firm. One such loophole would be the lack of proper communication channels. According to </w:t>
      </w:r>
      <w:proofErr w:type="spellStart"/>
      <w:r>
        <w:rPr>
          <w:rFonts w:ascii="Helvetica" w:hAnsi="Helvetica" w:cs="Helvetica"/>
          <w:color w:val="2D3B45"/>
        </w:rPr>
        <w:t>Kaymak</w:t>
      </w:r>
      <w:proofErr w:type="spellEnd"/>
      <w:r>
        <w:rPr>
          <w:rFonts w:ascii="Helvetica" w:hAnsi="Helvetica" w:cs="Helvetica"/>
          <w:color w:val="2D3B45"/>
        </w:rPr>
        <w:t xml:space="preserve"> (2017), communication is integral in completing CSR initiatives. Furthermore, it removes distrust and other barriers to completing the initiatives. Communication lines work on promoting corporate transparency between management and employees ensuring the CSR initiatives benefit all the members intended.</w:t>
      </w:r>
    </w:p>
    <w:p w14:paraId="67A248B4" w14:textId="77777777" w:rsidR="000F59DC" w:rsidRDefault="000F59DC" w:rsidP="000F59DC">
      <w:pPr>
        <w:pStyle w:val="NormalWeb"/>
        <w:shd w:val="clear" w:color="auto" w:fill="FFFFFF"/>
        <w:spacing w:before="180" w:beforeAutospacing="0" w:after="0" w:afterAutospacing="0"/>
        <w:rPr>
          <w:rFonts w:ascii="Helvetica" w:hAnsi="Helvetica" w:cs="Helvetica"/>
          <w:color w:val="2D3B45"/>
        </w:rPr>
      </w:pPr>
      <w:r>
        <w:rPr>
          <w:rStyle w:val="Strong"/>
          <w:rFonts w:ascii="Helvetica" w:hAnsi="Helvetica" w:cs="Helvetica"/>
          <w:color w:val="2D3B45"/>
        </w:rPr>
        <w:t> </w:t>
      </w:r>
    </w:p>
    <w:p w14:paraId="57CBFF33" w14:textId="77777777" w:rsidR="000F59DC" w:rsidRDefault="000F59DC" w:rsidP="000F59DC">
      <w:pPr>
        <w:pStyle w:val="NormalWeb"/>
        <w:shd w:val="clear" w:color="auto" w:fill="FFFFFF"/>
        <w:spacing w:before="180" w:beforeAutospacing="0" w:after="0" w:afterAutospacing="0"/>
        <w:rPr>
          <w:rFonts w:ascii="Helvetica" w:hAnsi="Helvetica" w:cs="Helvetica"/>
          <w:color w:val="2D3B45"/>
        </w:rPr>
      </w:pPr>
      <w:r>
        <w:rPr>
          <w:rStyle w:val="Strong"/>
          <w:rFonts w:ascii="Helvetica" w:hAnsi="Helvetica" w:cs="Helvetica"/>
          <w:color w:val="2D3B45"/>
        </w:rPr>
        <w:t>References</w:t>
      </w:r>
    </w:p>
    <w:p w14:paraId="480A3140" w14:textId="77777777" w:rsidR="000F59DC" w:rsidRDefault="000F59DC" w:rsidP="000F59DC">
      <w:pPr>
        <w:pStyle w:val="NormalWeb"/>
        <w:shd w:val="clear" w:color="auto" w:fill="FFFFFF"/>
        <w:spacing w:before="180" w:beforeAutospacing="0" w:after="180" w:afterAutospacing="0"/>
        <w:rPr>
          <w:rFonts w:ascii="Helvetica" w:hAnsi="Helvetica" w:cs="Helvetica"/>
          <w:color w:val="2D3B45"/>
        </w:rPr>
      </w:pPr>
      <w:proofErr w:type="spellStart"/>
      <w:r>
        <w:rPr>
          <w:rFonts w:ascii="Helvetica" w:hAnsi="Helvetica" w:cs="Helvetica"/>
          <w:color w:val="2D3B45"/>
        </w:rPr>
        <w:t>Kaymak</w:t>
      </w:r>
      <w:proofErr w:type="spellEnd"/>
      <w:r>
        <w:rPr>
          <w:rFonts w:ascii="Helvetica" w:hAnsi="Helvetica" w:cs="Helvetica"/>
          <w:color w:val="2D3B45"/>
        </w:rPr>
        <w:t xml:space="preserve">, T., &amp; </w:t>
      </w:r>
      <w:proofErr w:type="spellStart"/>
      <w:r>
        <w:rPr>
          <w:rFonts w:ascii="Helvetica" w:hAnsi="Helvetica" w:cs="Helvetica"/>
          <w:color w:val="2D3B45"/>
        </w:rPr>
        <w:t>Bektas</w:t>
      </w:r>
      <w:proofErr w:type="spellEnd"/>
      <w:r>
        <w:rPr>
          <w:rFonts w:ascii="Helvetica" w:hAnsi="Helvetica" w:cs="Helvetica"/>
          <w:color w:val="2D3B45"/>
        </w:rPr>
        <w:t>, E. (2017). Corporate social responsibility and governance: Information disclosure in multinational corporations. Corporate Social Responsibility and Environmental Management, 24 (6), 555-569. Retrieved from https://onlinelibrary.wiley.com/doi/abs/10.1002/csr.1428</w:t>
      </w:r>
    </w:p>
    <w:p w14:paraId="4A104967" w14:textId="77777777" w:rsidR="000F59DC" w:rsidRDefault="000F59DC" w:rsidP="000F59DC">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García-Sánchez, I. M., Gómez-Miranda, M. E., David, F., &amp; Rodríguez-</w:t>
      </w:r>
      <w:proofErr w:type="spellStart"/>
      <w:r>
        <w:rPr>
          <w:rFonts w:ascii="Helvetica" w:hAnsi="Helvetica" w:cs="Helvetica"/>
          <w:color w:val="2D3B45"/>
        </w:rPr>
        <w:t>Ariza</w:t>
      </w:r>
      <w:proofErr w:type="spellEnd"/>
      <w:r>
        <w:rPr>
          <w:rFonts w:ascii="Helvetica" w:hAnsi="Helvetica" w:cs="Helvetica"/>
          <w:color w:val="2D3B45"/>
        </w:rPr>
        <w:t xml:space="preserve">, L. (2019). The explanatory effect of CSR committee and assurance services on the adoption of the IFC performance standards, as a means of enhancing corporate transparency. Sustainability Accounting, Management, and Policy Journal. Retrieved from </w:t>
      </w:r>
      <w:r>
        <w:rPr>
          <w:rFonts w:ascii="Helvetica" w:hAnsi="Helvetica" w:cs="Helvetica"/>
          <w:color w:val="2D3B45"/>
        </w:rPr>
        <w:lastRenderedPageBreak/>
        <w:t>https://cicf.ipca.pt/en/portfolio/the-explanatory-effect-of-csr-committee-and-assurance-services-on-the-adoption-of-the-ifc-performance-standards-as-a-means-of-enhancing-corporate-transparency/</w:t>
      </w:r>
    </w:p>
    <w:p w14:paraId="6DDCD67F" w14:textId="77777777" w:rsidR="000F59DC" w:rsidRDefault="000F59DC" w:rsidP="000F59DC">
      <w:pPr>
        <w:pStyle w:val="NormalWeb"/>
        <w:shd w:val="clear" w:color="auto" w:fill="FFFFFF"/>
        <w:spacing w:before="180" w:beforeAutospacing="0" w:after="0" w:afterAutospacing="0"/>
        <w:rPr>
          <w:rFonts w:ascii="Helvetica" w:hAnsi="Helvetica" w:cs="Helvetica"/>
          <w:color w:val="2D3B45"/>
        </w:rPr>
      </w:pPr>
      <w:r>
        <w:rPr>
          <w:rFonts w:ascii="Helvetica" w:hAnsi="Helvetica" w:cs="Helvetica"/>
          <w:color w:val="2D3B45"/>
        </w:rPr>
        <w:t> </w:t>
      </w:r>
    </w:p>
    <w:p w14:paraId="12206E06" w14:textId="77777777" w:rsidR="00822469" w:rsidRDefault="00822469"/>
    <w:sectPr w:rsidR="0082246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9DC"/>
    <w:rsid w:val="000F59DC"/>
    <w:rsid w:val="008224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1967EF"/>
  <w15:chartTrackingRefBased/>
  <w15:docId w15:val="{39891E5A-F594-42DC-B733-E5CC2EC736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F59D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F59D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675664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457</Words>
  <Characters>2609</Characters>
  <Application>Microsoft Office Word</Application>
  <DocSecurity>0</DocSecurity>
  <Lines>21</Lines>
  <Paragraphs>6</Paragraphs>
  <ScaleCrop>false</ScaleCrop>
  <Company/>
  <LinksUpToDate>false</LinksUpToDate>
  <CharactersWithSpaces>3060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CTM</dc:creator>
  <cp:keywords/>
  <dc:description/>
  <cp:lastModifiedBy>CTM</cp:lastModifiedBy>
  <cp:revision>1</cp:revision>
  <dcterms:created xsi:type="dcterms:W3CDTF">2020-05-28T19:56:00Z</dcterms:created>
  <dcterms:modified xsi:type="dcterms:W3CDTF">2020-05-28T19:56:00Z</dcterms:modified>
</cp:coreProperties>
</file>